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afterLines="50"/>
        <w:jc w:val="center"/>
        <w:rPr>
          <w:rFonts w:ascii="宋体"/>
          <w:b/>
          <w:color w:val="FF0000"/>
          <w:spacing w:val="40"/>
          <w:w w:val="90"/>
          <w:kern w:val="15"/>
          <w:sz w:val="24"/>
        </w:rPr>
      </w:pPr>
    </w:p>
    <w:p>
      <w:pPr>
        <w:spacing w:beforeLines="50" w:afterLines="50"/>
        <w:jc w:val="center"/>
        <w:rPr>
          <w:rFonts w:ascii="宋体"/>
          <w:b/>
          <w:color w:val="FF0000"/>
          <w:spacing w:val="40"/>
          <w:w w:val="90"/>
          <w:kern w:val="15"/>
          <w:sz w:val="24"/>
        </w:rPr>
      </w:pPr>
    </w:p>
    <w:p>
      <w:pPr>
        <w:spacing w:beforeLines="50" w:afterLines="50"/>
        <w:jc w:val="center"/>
        <w:rPr>
          <w:rFonts w:ascii="宋体"/>
          <w:b/>
          <w:color w:val="FF0000"/>
          <w:spacing w:val="40"/>
          <w:w w:val="90"/>
          <w:kern w:val="15"/>
          <w:sz w:val="96"/>
          <w:szCs w:val="88"/>
        </w:rPr>
      </w:pPr>
      <w:r>
        <w:rPr>
          <w:rFonts w:hint="eastAsia" w:ascii="宋体"/>
          <w:b/>
          <w:color w:val="FF0000"/>
          <w:spacing w:val="40"/>
          <w:w w:val="90"/>
          <w:kern w:val="15"/>
          <w:sz w:val="96"/>
          <w:szCs w:val="88"/>
        </w:rPr>
        <w:t>福建省教育厅文件</w:t>
      </w:r>
    </w:p>
    <w:p>
      <w:pPr>
        <w:jc w:val="center"/>
        <w:rPr>
          <w:rFonts w:ascii="仿宋_GB2312" w:hAnsi="华文仿宋" w:eastAsia="仿宋_GB2312"/>
          <w:sz w:val="32"/>
          <w:szCs w:val="32"/>
        </w:rPr>
      </w:pPr>
    </w:p>
    <w:p>
      <w:pPr>
        <w:jc w:val="center"/>
        <w:rPr>
          <w:rFonts w:ascii="仿宋_GB2312" w:hAnsi="华文仿宋" w:eastAsia="仿宋_GB2312"/>
          <w:sz w:val="32"/>
          <w:szCs w:val="32"/>
        </w:rPr>
      </w:pPr>
      <w:bookmarkStart w:id="1" w:name="_GoBack"/>
      <w:r>
        <w:rPr>
          <w:rFonts w:hint="eastAsia" w:ascii="仿宋_GB2312" w:hAnsi="华文仿宋" w:eastAsia="仿宋_GB2312"/>
          <w:sz w:val="32"/>
          <w:szCs w:val="32"/>
        </w:rPr>
        <w:t>闽教职成〔</w:t>
      </w:r>
      <w:r>
        <w:rPr>
          <w:rFonts w:ascii="仿宋_GB2312" w:hAnsi="华文仿宋" w:eastAsia="仿宋_GB2312"/>
          <w:sz w:val="32"/>
          <w:szCs w:val="32"/>
        </w:rPr>
        <w:t>201</w:t>
      </w:r>
      <w:r>
        <w:rPr>
          <w:rFonts w:hint="eastAsia" w:ascii="仿宋_GB2312" w:hAnsi="华文仿宋" w:eastAsia="仿宋_GB2312"/>
          <w:sz w:val="32"/>
          <w:szCs w:val="32"/>
          <w:lang w:val="en-US" w:eastAsia="zh-CN"/>
        </w:rPr>
        <w:t>9</w:t>
      </w:r>
      <w:r>
        <w:rPr>
          <w:rFonts w:hint="eastAsia" w:ascii="仿宋_GB2312" w:hAnsi="华文仿宋" w:eastAsia="仿宋_GB2312"/>
          <w:sz w:val="32"/>
          <w:szCs w:val="32"/>
        </w:rPr>
        <w:t>〕</w:t>
      </w:r>
      <w:r>
        <w:rPr>
          <w:rFonts w:hint="eastAsia" w:ascii="仿宋_GB2312" w:hAnsi="华文仿宋" w:eastAsia="仿宋_GB2312"/>
          <w:sz w:val="32"/>
          <w:szCs w:val="32"/>
          <w:lang w:val="en-US" w:eastAsia="zh-CN"/>
        </w:rPr>
        <w:t>18</w:t>
      </w:r>
      <w:r>
        <w:rPr>
          <w:rFonts w:hint="eastAsia" w:ascii="仿宋_GB2312" w:hAnsi="华文仿宋" w:eastAsia="仿宋_GB2312"/>
          <w:sz w:val="32"/>
          <w:szCs w:val="32"/>
        </w:rPr>
        <w:t>号</w:t>
      </w:r>
    </w:p>
    <w:bookmarkEnd w:id="1"/>
    <w:p>
      <w:pPr>
        <w:jc w:val="center"/>
      </w:pPr>
      <w:r>
        <mc:AlternateContent>
          <mc:Choice Requires="wps">
            <w:drawing>
              <wp:anchor distT="0" distB="0" distL="114300" distR="114300" simplePos="0" relativeHeight="251685888" behindDoc="0" locked="0" layoutInCell="1" allowOverlap="1">
                <wp:simplePos x="0" y="0"/>
                <wp:positionH relativeFrom="column">
                  <wp:posOffset>20320</wp:posOffset>
                </wp:positionH>
                <wp:positionV relativeFrom="paragraph">
                  <wp:posOffset>0</wp:posOffset>
                </wp:positionV>
                <wp:extent cx="5534025" cy="635"/>
                <wp:effectExtent l="0" t="0" r="0" b="0"/>
                <wp:wrapNone/>
                <wp:docPr id="6" name="直接箭头连接符 6"/>
                <wp:cNvGraphicFramePr/>
                <a:graphic xmlns:a="http://schemas.openxmlformats.org/drawingml/2006/main">
                  <a:graphicData uri="http://schemas.microsoft.com/office/word/2010/wordprocessingShape">
                    <wps:wsp>
                      <wps:cNvCnPr/>
                      <wps:spPr>
                        <a:xfrm>
                          <a:off x="0" y="0"/>
                          <a:ext cx="5534025" cy="635"/>
                        </a:xfrm>
                        <a:prstGeom prst="straightConnector1">
                          <a:avLst/>
                        </a:prstGeom>
                        <a:ln w="25400" cap="flat" cmpd="sng">
                          <a:solidFill>
                            <a:srgbClr val="FF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6pt;margin-top:0pt;height:0.05pt;width:435.75pt;z-index:251685888;mso-width-relative:page;mso-height-relative:page;" filled="f" stroked="t" coordsize="21600,21600" o:gfxdata="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0OI1lNQAAAAD&#10;AQAADwAAAAAAAAABACAAAAAiAAAAZHJzL2Rvd25yZXYueG1sUEsBAhQAFAAAAAgAh07iQEX5yFvn&#10;AQAAoQMAAA4AAAAAAAAAAQAgAAAAIwEAAGRycy9lMm9Eb2MueG1sUEsFBgAAAAAGAAYAWQEAAHwF&#10;AAAAAA==&#10;">
                <v:fill on="f" focussize="0,0"/>
                <v:stroke weight="2pt" color="#FF0000" joinstyle="round"/>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eastAsia" w:ascii="方正小标宋简体" w:hAnsi="宋体" w:eastAsia="方正小标宋简体"/>
          <w:sz w:val="44"/>
          <w:szCs w:val="36"/>
        </w:rPr>
      </w:pPr>
      <w:r>
        <mc:AlternateContent>
          <mc:Choice Requires="wps">
            <w:drawing>
              <wp:anchor distT="0" distB="0" distL="114300" distR="114300" simplePos="0" relativeHeight="251659264" behindDoc="0" locked="0" layoutInCell="1" allowOverlap="1">
                <wp:simplePos x="0" y="0"/>
                <wp:positionH relativeFrom="column">
                  <wp:posOffset>20320</wp:posOffset>
                </wp:positionH>
                <wp:positionV relativeFrom="paragraph">
                  <wp:posOffset>0</wp:posOffset>
                </wp:positionV>
                <wp:extent cx="5534025" cy="635"/>
                <wp:effectExtent l="0" t="0" r="0" b="0"/>
                <wp:wrapNone/>
                <wp:docPr id="1" name="直接箭头连接符 1"/>
                <wp:cNvGraphicFramePr/>
                <a:graphic xmlns:a="http://schemas.openxmlformats.org/drawingml/2006/main">
                  <a:graphicData uri="http://schemas.microsoft.com/office/word/2010/wordprocessingShape">
                    <wps:wsp>
                      <wps:cNvCnPr/>
                      <wps:spPr>
                        <a:xfrm>
                          <a:off x="0" y="0"/>
                          <a:ext cx="5534025" cy="635"/>
                        </a:xfrm>
                        <a:prstGeom prst="straightConnector1">
                          <a:avLst/>
                        </a:prstGeom>
                        <a:ln w="25400">
                          <a:noFill/>
                        </a:ln>
                      </wps:spPr>
                      <wps:bodyPr/>
                    </wps:wsp>
                  </a:graphicData>
                </a:graphic>
              </wp:anchor>
            </w:drawing>
          </mc:Choice>
          <mc:Fallback>
            <w:pict>
              <v:shape id="_x0000_s1026" o:spid="_x0000_s1026" o:spt="32" type="#_x0000_t32" style="position:absolute;left:0pt;margin-left:1.6pt;margin-top:0pt;height:0.05pt;width:435.75pt;z-index:251659264;mso-width-relative:page;mso-height-relative:page;" filled="f" stroked="f" coordsize="21600,21600" o:gfxdata="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">
                <v:fill on="f" focussize="0,0"/>
                <v:stroke on="f" weight="2pt"/>
                <v:imagedata o:title=""/>
                <o:lock v:ext="edit" aspectratio="f"/>
              </v:shape>
            </w:pict>
          </mc:Fallback>
        </mc:AlternateContent>
      </w:r>
      <w:r>
        <w:rPr>
          <w:rFonts w:hint="eastAsia" w:ascii="方正小标宋简体" w:hAnsi="宋体" w:eastAsia="方正小标宋简体"/>
          <w:sz w:val="44"/>
          <w:szCs w:val="36"/>
        </w:rPr>
        <w:t>福建省教育厅关于公布</w:t>
      </w:r>
      <w:r>
        <w:rPr>
          <w:rFonts w:ascii="方正小标宋简体" w:hAnsi="宋体" w:eastAsia="方正小标宋简体"/>
          <w:sz w:val="44"/>
          <w:szCs w:val="36"/>
        </w:rPr>
        <w:t>201</w:t>
      </w:r>
      <w:r>
        <w:rPr>
          <w:rFonts w:hint="eastAsia" w:ascii="方正小标宋简体" w:hAnsi="宋体" w:eastAsia="方正小标宋简体"/>
          <w:sz w:val="44"/>
          <w:szCs w:val="36"/>
          <w:lang w:val="en-US" w:eastAsia="zh-CN"/>
        </w:rPr>
        <w:t>9</w:t>
      </w:r>
      <w:r>
        <w:rPr>
          <w:rFonts w:hint="eastAsia" w:ascii="方正小标宋简体" w:hAnsi="宋体" w:eastAsia="方正小标宋简体"/>
          <w:sz w:val="44"/>
          <w:szCs w:val="36"/>
        </w:rPr>
        <w:t>年</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ascii="方正小标宋简体" w:hAnsi="宋体" w:eastAsia="方正小标宋简体"/>
          <w:sz w:val="44"/>
          <w:szCs w:val="36"/>
        </w:rPr>
      </w:pPr>
      <w:r>
        <w:rPr>
          <w:rFonts w:hint="eastAsia" w:ascii="方正小标宋简体" w:hAnsi="宋体" w:eastAsia="方正小标宋简体"/>
          <w:sz w:val="44"/>
          <w:szCs w:val="36"/>
        </w:rPr>
        <w:t>中等职业教育招生</w:t>
      </w:r>
      <w:r>
        <w:rPr>
          <w:rFonts w:hint="eastAsia" w:ascii="方正小标宋简体" w:hAnsi="宋体" w:eastAsia="方正小标宋简体"/>
          <w:sz w:val="44"/>
          <w:szCs w:val="36"/>
          <w:lang w:eastAsia="zh-CN"/>
        </w:rPr>
        <w:t>资质</w:t>
      </w:r>
      <w:r>
        <w:rPr>
          <w:rFonts w:hint="eastAsia" w:ascii="方正小标宋简体" w:hAnsi="宋体" w:eastAsia="方正小标宋简体"/>
          <w:sz w:val="44"/>
          <w:szCs w:val="36"/>
        </w:rPr>
        <w:t>学校</w:t>
      </w:r>
      <w:r>
        <w:rPr>
          <w:rFonts w:hint="eastAsia" w:ascii="方正小标宋简体" w:hAnsi="宋体" w:eastAsia="方正小标宋简体"/>
          <w:sz w:val="44"/>
          <w:szCs w:val="36"/>
          <w:lang w:eastAsia="zh-CN"/>
        </w:rPr>
        <w:t>名录</w:t>
      </w:r>
      <w:r>
        <w:rPr>
          <w:rFonts w:hint="eastAsia" w:ascii="方正小标宋简体" w:hAnsi="宋体" w:eastAsia="方正小标宋简体"/>
          <w:sz w:val="44"/>
          <w:szCs w:val="36"/>
        </w:rPr>
        <w:t>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ascii="仿宋_GB2312" w:hAnsi="仿宋" w:eastAsia="仿宋_GB2312" w:cs="Calibri"/>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both"/>
        <w:textAlignment w:val="auto"/>
        <w:outlineLvl w:val="9"/>
        <w:rPr>
          <w:rFonts w:ascii="仿宋_GB2312" w:hAnsi="仿宋" w:eastAsia="仿宋_GB2312" w:cs="Calibri"/>
          <w:sz w:val="32"/>
          <w:szCs w:val="32"/>
        </w:rPr>
      </w:pPr>
      <w:r>
        <w:rPr>
          <w:rFonts w:hint="eastAsia" w:ascii="仿宋_GB2312" w:hAnsi="仿宋" w:eastAsia="仿宋_GB2312" w:cs="Calibri"/>
          <w:sz w:val="32"/>
          <w:szCs w:val="32"/>
        </w:rPr>
        <w:t>各市、县（区）教育局，平潭综合实验区教育局，各省属中等职业学校，有关高等职业院校：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ascii="仿宋_GB2312" w:hAnsi="仿宋" w:eastAsia="仿宋_GB2312" w:cs="Calibri"/>
          <w:sz w:val="32"/>
          <w:szCs w:val="32"/>
        </w:rPr>
      </w:pPr>
      <w:r>
        <w:rPr>
          <w:rFonts w:hint="eastAsia" w:ascii="仿宋_GB2312" w:hAnsi="仿宋" w:eastAsia="仿宋_GB2312" w:cs="Calibri"/>
          <w:sz w:val="32"/>
          <w:szCs w:val="32"/>
        </w:rPr>
        <w:t>根据《</w:t>
      </w:r>
      <w:r>
        <w:rPr>
          <w:rFonts w:hint="eastAsia" w:ascii="仿宋_GB2312" w:hAnsi="仿宋" w:eastAsia="仿宋_GB2312" w:cs="Calibri"/>
          <w:sz w:val="32"/>
          <w:szCs w:val="32"/>
          <w:lang w:eastAsia="zh-CN"/>
        </w:rPr>
        <w:t>教育部办公厅关于建立中等职业学校学历教育招生资质定期公布制度的通知</w:t>
      </w:r>
      <w:r>
        <w:rPr>
          <w:rFonts w:hint="eastAsia" w:ascii="仿宋_GB2312" w:hAnsi="仿宋" w:eastAsia="仿宋_GB2312" w:cs="Calibri"/>
          <w:sz w:val="32"/>
          <w:szCs w:val="32"/>
        </w:rPr>
        <w:t>》</w:t>
      </w:r>
      <w:r>
        <w:rPr>
          <w:rFonts w:hint="eastAsia" w:ascii="仿宋_GB2312" w:hAnsi="仿宋" w:eastAsia="仿宋_GB2312" w:cs="Calibri"/>
          <w:sz w:val="32"/>
          <w:szCs w:val="32"/>
          <w:lang w:eastAsia="zh-CN"/>
        </w:rPr>
        <w:t>（教职成厅</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2019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2号）要求，</w:t>
      </w:r>
      <w:r>
        <w:rPr>
          <w:rFonts w:hint="eastAsia" w:ascii="仿宋_GB2312" w:hAnsi="仿宋" w:eastAsia="仿宋_GB2312" w:cs="Calibri"/>
          <w:sz w:val="32"/>
          <w:szCs w:val="32"/>
        </w:rPr>
        <w:t>现将</w:t>
      </w:r>
      <w:r>
        <w:rPr>
          <w:rFonts w:ascii="仿宋_GB2312" w:hAnsi="仿宋" w:eastAsia="仿宋_GB2312" w:cs="Calibri"/>
          <w:sz w:val="32"/>
          <w:szCs w:val="32"/>
        </w:rPr>
        <w:t>201</w:t>
      </w:r>
      <w:r>
        <w:rPr>
          <w:rFonts w:hint="eastAsia" w:ascii="仿宋_GB2312" w:hAnsi="仿宋" w:eastAsia="仿宋_GB2312" w:cs="Calibri"/>
          <w:sz w:val="32"/>
          <w:szCs w:val="32"/>
          <w:lang w:val="en-US" w:eastAsia="zh-CN"/>
        </w:rPr>
        <w:t>9</w:t>
      </w:r>
      <w:r>
        <w:rPr>
          <w:rFonts w:hint="eastAsia" w:ascii="仿宋_GB2312" w:hAnsi="仿宋" w:eastAsia="仿宋_GB2312" w:cs="Calibri"/>
          <w:sz w:val="32"/>
          <w:szCs w:val="32"/>
        </w:rPr>
        <w:t>年我省具有中等职业教育招生</w:t>
      </w:r>
      <w:r>
        <w:rPr>
          <w:rFonts w:hint="eastAsia" w:ascii="仿宋_GB2312" w:hAnsi="仿宋" w:eastAsia="仿宋_GB2312" w:cs="Calibri"/>
          <w:sz w:val="32"/>
          <w:szCs w:val="32"/>
          <w:lang w:eastAsia="zh-CN"/>
        </w:rPr>
        <w:t>资质</w:t>
      </w:r>
      <w:r>
        <w:rPr>
          <w:rFonts w:hint="eastAsia" w:ascii="仿宋_GB2312" w:hAnsi="仿宋" w:eastAsia="仿宋_GB2312" w:cs="Calibri"/>
          <w:sz w:val="32"/>
          <w:szCs w:val="32"/>
        </w:rPr>
        <w:t>的中等职业学校</w:t>
      </w:r>
      <w:r>
        <w:rPr>
          <w:rFonts w:hint="eastAsia" w:ascii="仿宋_GB2312" w:hAnsi="仿宋" w:eastAsia="仿宋_GB2312" w:cs="Calibri"/>
          <w:sz w:val="32"/>
          <w:szCs w:val="32"/>
          <w:lang w:eastAsia="zh-CN"/>
        </w:rPr>
        <w:t>、技工院校名录</w:t>
      </w:r>
      <w:r>
        <w:rPr>
          <w:rFonts w:hint="eastAsia" w:ascii="仿宋_GB2312" w:hAnsi="仿宋" w:eastAsia="仿宋_GB2312" w:cs="Calibri"/>
          <w:sz w:val="32"/>
          <w:szCs w:val="32"/>
        </w:rPr>
        <w:t>予以公布，并就有关事项通知如下：</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 w:eastAsia="仿宋_GB2312" w:cs="Calibri"/>
          <w:sz w:val="32"/>
          <w:szCs w:val="32"/>
          <w:lang w:eastAsia="zh-CN"/>
        </w:rPr>
      </w:pPr>
      <w:r>
        <w:rPr>
          <w:rFonts w:hint="eastAsia" w:ascii="仿宋_GB2312" w:hAnsi="仿宋" w:eastAsia="仿宋_GB2312" w:cs="Calibri"/>
          <w:sz w:val="32"/>
          <w:szCs w:val="32"/>
          <w:lang w:eastAsia="zh-CN"/>
        </w:rPr>
        <w:t>一、按照“谁审批、谁负责”的原则，教育部门负责对中等职业学校招生资质和招生专业进行核查；人社部门负责对技工院校招生资质和招生专业进行核查，并由人社部门另行公布技工院校招生专业。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 w:eastAsia="仿宋_GB2312" w:cs="Calibri"/>
          <w:sz w:val="32"/>
          <w:szCs w:val="32"/>
          <w:lang w:eastAsia="zh-CN"/>
        </w:rPr>
      </w:pPr>
      <w:r>
        <w:rPr>
          <w:rFonts w:hint="eastAsia" w:ascii="仿宋_GB2312" w:hAnsi="仿宋" w:eastAsia="仿宋_GB2312" w:cs="Calibri"/>
          <w:sz w:val="32"/>
          <w:szCs w:val="32"/>
          <w:lang w:eastAsia="zh-CN"/>
        </w:rPr>
        <w:t>二、</w:t>
      </w:r>
      <w:r>
        <w:rPr>
          <w:rFonts w:hint="eastAsia" w:ascii="仿宋_GB2312" w:hAnsi="仿宋" w:eastAsia="仿宋_GB2312" w:cs="Calibri"/>
          <w:sz w:val="32"/>
          <w:szCs w:val="32"/>
        </w:rPr>
        <w:t>未列入20</w:t>
      </w:r>
      <w:r>
        <w:rPr>
          <w:rFonts w:hint="eastAsia" w:ascii="仿宋_GB2312" w:hAnsi="仿宋" w:eastAsia="仿宋_GB2312" w:cs="Calibri"/>
          <w:sz w:val="32"/>
          <w:szCs w:val="32"/>
          <w:lang w:val="en-US" w:eastAsia="zh-CN"/>
        </w:rPr>
        <w:t>19</w:t>
      </w:r>
      <w:r>
        <w:rPr>
          <w:rFonts w:hint="eastAsia" w:ascii="仿宋_GB2312" w:hAnsi="仿宋" w:eastAsia="仿宋_GB2312" w:cs="Calibri"/>
          <w:sz w:val="32"/>
          <w:szCs w:val="32"/>
        </w:rPr>
        <w:t>年具有中等职业教育招生</w:t>
      </w:r>
      <w:r>
        <w:rPr>
          <w:rFonts w:hint="eastAsia" w:ascii="仿宋_GB2312" w:hAnsi="仿宋" w:eastAsia="仿宋_GB2312" w:cs="Calibri"/>
          <w:sz w:val="32"/>
          <w:szCs w:val="32"/>
          <w:lang w:eastAsia="zh-CN"/>
        </w:rPr>
        <w:t>资质学校名录的</w:t>
      </w:r>
      <w:r>
        <w:rPr>
          <w:rFonts w:hint="eastAsia" w:ascii="仿宋_GB2312" w:hAnsi="仿宋" w:eastAsia="仿宋_GB2312" w:cs="Calibri"/>
          <w:sz w:val="32"/>
          <w:szCs w:val="32"/>
        </w:rPr>
        <w:t>中等职业学校</w:t>
      </w:r>
      <w:r>
        <w:rPr>
          <w:rFonts w:hint="eastAsia" w:ascii="仿宋_GB2312" w:hAnsi="仿宋" w:eastAsia="仿宋_GB2312" w:cs="Calibri"/>
          <w:sz w:val="32"/>
          <w:szCs w:val="32"/>
          <w:lang w:eastAsia="zh-CN"/>
        </w:rPr>
        <w:t>、技工院校，以及未</w:t>
      </w:r>
      <w:r>
        <w:rPr>
          <w:rFonts w:hint="eastAsia" w:ascii="仿宋_GB2312" w:hAnsi="仿宋" w:eastAsia="仿宋_GB2312" w:cs="Calibri"/>
          <w:sz w:val="32"/>
          <w:szCs w:val="32"/>
        </w:rPr>
        <w:t>列入</w:t>
      </w:r>
      <w:r>
        <w:rPr>
          <w:rFonts w:hint="eastAsia" w:ascii="仿宋_GB2312" w:hAnsi="仿宋" w:eastAsia="仿宋_GB2312" w:cs="Calibri"/>
          <w:sz w:val="32"/>
          <w:szCs w:val="32"/>
          <w:lang w:eastAsia="zh-CN"/>
        </w:rPr>
        <w:t>我厅公布的</w:t>
      </w:r>
      <w:r>
        <w:rPr>
          <w:rFonts w:hint="eastAsia" w:ascii="仿宋_GB2312" w:hAnsi="仿宋" w:eastAsia="仿宋_GB2312" w:cs="Calibri"/>
          <w:sz w:val="32"/>
          <w:szCs w:val="32"/>
        </w:rPr>
        <w:t>20</w:t>
      </w:r>
      <w:r>
        <w:rPr>
          <w:rFonts w:hint="eastAsia" w:ascii="仿宋_GB2312" w:hAnsi="仿宋" w:eastAsia="仿宋_GB2312" w:cs="Calibri"/>
          <w:sz w:val="32"/>
          <w:szCs w:val="32"/>
          <w:lang w:val="en-US" w:eastAsia="zh-CN"/>
        </w:rPr>
        <w:t>19</w:t>
      </w:r>
      <w:r>
        <w:rPr>
          <w:rFonts w:hint="eastAsia" w:ascii="仿宋_GB2312" w:hAnsi="仿宋" w:eastAsia="仿宋_GB2312" w:cs="Calibri"/>
          <w:sz w:val="32"/>
          <w:szCs w:val="32"/>
        </w:rPr>
        <w:t>年</w:t>
      </w:r>
      <w:r>
        <w:rPr>
          <w:rFonts w:hint="eastAsia" w:ascii="仿宋_GB2312" w:hAnsi="仿宋" w:eastAsia="仿宋_GB2312" w:cs="Calibri"/>
          <w:sz w:val="32"/>
          <w:szCs w:val="32"/>
          <w:lang w:eastAsia="zh-CN"/>
        </w:rPr>
        <w:t>中等职业学校招生专业名单、省人社厅公布的</w:t>
      </w:r>
      <w:r>
        <w:rPr>
          <w:rFonts w:hint="eastAsia" w:ascii="仿宋_GB2312" w:hAnsi="仿宋" w:eastAsia="仿宋_GB2312" w:cs="Calibri"/>
          <w:sz w:val="32"/>
          <w:szCs w:val="32"/>
        </w:rPr>
        <w:t>20</w:t>
      </w:r>
      <w:r>
        <w:rPr>
          <w:rFonts w:hint="eastAsia" w:ascii="仿宋_GB2312" w:hAnsi="仿宋" w:eastAsia="仿宋_GB2312" w:cs="Calibri"/>
          <w:sz w:val="32"/>
          <w:szCs w:val="32"/>
          <w:lang w:val="en-US" w:eastAsia="zh-CN"/>
        </w:rPr>
        <w:t>19</w:t>
      </w:r>
      <w:r>
        <w:rPr>
          <w:rFonts w:hint="eastAsia" w:ascii="仿宋_GB2312" w:hAnsi="仿宋" w:eastAsia="仿宋_GB2312" w:cs="Calibri"/>
          <w:sz w:val="32"/>
          <w:szCs w:val="32"/>
        </w:rPr>
        <w:t>年</w:t>
      </w:r>
      <w:r>
        <w:rPr>
          <w:rFonts w:hint="eastAsia" w:ascii="仿宋_GB2312" w:hAnsi="仿宋" w:eastAsia="仿宋_GB2312" w:cs="Calibri"/>
          <w:sz w:val="32"/>
          <w:szCs w:val="32"/>
          <w:lang w:eastAsia="zh-CN"/>
        </w:rPr>
        <w:t>技工院校招生专业名单的专业，一律不得招生。</w:t>
      </w:r>
    </w:p>
    <w:p>
      <w:pPr>
        <w:keepNext w:val="0"/>
        <w:keepLines w:val="0"/>
        <w:pageBreakBefore w:val="0"/>
        <w:widowControl w:val="0"/>
        <w:tabs>
          <w:tab w:val="left" w:pos="7797"/>
        </w:tabs>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 w:eastAsia="仿宋_GB2312" w:cs="Calibri"/>
          <w:spacing w:val="-6"/>
          <w:sz w:val="32"/>
          <w:szCs w:val="32"/>
        </w:rPr>
      </w:pPr>
      <w:r>
        <w:rPr>
          <w:rFonts w:hint="eastAsia" w:ascii="仿宋_GB2312" w:hAnsi="仿宋" w:eastAsia="仿宋_GB2312" w:cs="Calibri"/>
          <w:sz w:val="32"/>
          <w:szCs w:val="32"/>
          <w:lang w:eastAsia="zh-CN"/>
        </w:rPr>
        <w:t>三、</w:t>
      </w:r>
      <w:r>
        <w:rPr>
          <w:rFonts w:hint="eastAsia" w:ascii="仿宋_GB2312" w:hAnsi="仿宋" w:eastAsia="仿宋_GB2312" w:cs="Calibri"/>
          <w:sz w:val="32"/>
          <w:szCs w:val="32"/>
        </w:rPr>
        <w:t>各设区市、平潭综合实验区教育局</w:t>
      </w:r>
      <w:r>
        <w:rPr>
          <w:rFonts w:hint="eastAsia" w:ascii="仿宋_GB2312" w:hAnsi="仿宋" w:eastAsia="仿宋_GB2312" w:cs="Calibri"/>
          <w:sz w:val="32"/>
          <w:szCs w:val="32"/>
          <w:lang w:eastAsia="zh-CN"/>
        </w:rPr>
        <w:t>要建立完善高中阶段学校招生录取信息化统一管理平台，将在</w:t>
      </w:r>
      <w:r>
        <w:rPr>
          <w:rFonts w:hint="eastAsia" w:ascii="仿宋_GB2312" w:hAnsi="仿宋" w:eastAsia="仿宋_GB2312" w:cs="Calibri"/>
          <w:sz w:val="32"/>
          <w:szCs w:val="32"/>
        </w:rPr>
        <w:t>本区域招生的中等职业学校</w:t>
      </w:r>
      <w:r>
        <w:rPr>
          <w:rFonts w:hint="eastAsia" w:ascii="仿宋_GB2312" w:hAnsi="仿宋" w:eastAsia="仿宋_GB2312" w:cs="Calibri"/>
          <w:sz w:val="32"/>
          <w:szCs w:val="32"/>
          <w:lang w:eastAsia="zh-CN"/>
        </w:rPr>
        <w:t>、技工院校</w:t>
      </w:r>
      <w:r>
        <w:rPr>
          <w:rFonts w:hint="eastAsia" w:ascii="仿宋_GB2312" w:hAnsi="仿宋" w:eastAsia="仿宋_GB2312" w:cs="Calibri"/>
          <w:sz w:val="32"/>
          <w:szCs w:val="32"/>
        </w:rPr>
        <w:t>纳入统一管理，按照公平、公正</w:t>
      </w:r>
      <w:r>
        <w:rPr>
          <w:rFonts w:hint="eastAsia" w:ascii="仿宋_GB2312" w:hAnsi="仿宋" w:eastAsia="仿宋_GB2312" w:cs="Calibri"/>
          <w:sz w:val="32"/>
          <w:szCs w:val="32"/>
          <w:lang w:eastAsia="zh-CN"/>
        </w:rPr>
        <w:t>、</w:t>
      </w:r>
      <w:r>
        <w:rPr>
          <w:rFonts w:hint="eastAsia" w:ascii="仿宋_GB2312" w:hAnsi="仿宋" w:eastAsia="仿宋_GB2312" w:cs="Calibri"/>
          <w:sz w:val="32"/>
          <w:szCs w:val="32"/>
        </w:rPr>
        <w:t>公开</w:t>
      </w:r>
      <w:r>
        <w:rPr>
          <w:rFonts w:hint="eastAsia" w:ascii="仿宋_GB2312" w:hAnsi="仿宋" w:eastAsia="仿宋_GB2312" w:cs="Calibri"/>
          <w:sz w:val="32"/>
          <w:szCs w:val="32"/>
          <w:lang w:eastAsia="zh-CN"/>
        </w:rPr>
        <w:t>的</w:t>
      </w:r>
      <w:r>
        <w:rPr>
          <w:rFonts w:hint="eastAsia" w:ascii="仿宋_GB2312" w:hAnsi="仿宋" w:eastAsia="仿宋_GB2312" w:cs="Calibri"/>
          <w:sz w:val="32"/>
          <w:szCs w:val="32"/>
        </w:rPr>
        <w:t>原则</w:t>
      </w:r>
      <w:r>
        <w:rPr>
          <w:rFonts w:hint="eastAsia" w:ascii="仿宋_GB2312" w:hAnsi="仿宋" w:eastAsia="仿宋_GB2312" w:cs="Calibri"/>
          <w:sz w:val="32"/>
          <w:szCs w:val="32"/>
          <w:lang w:eastAsia="zh-CN"/>
        </w:rPr>
        <w:t>，</w:t>
      </w:r>
      <w:r>
        <w:rPr>
          <w:rFonts w:hint="eastAsia" w:ascii="仿宋_GB2312" w:hAnsi="仿宋" w:eastAsia="仿宋_GB2312" w:cs="Calibri"/>
          <w:sz w:val="32"/>
          <w:szCs w:val="32"/>
        </w:rPr>
        <w:t>规范有序组织开展招生工作。</w:t>
      </w:r>
    </w:p>
    <w:p>
      <w:pPr>
        <w:keepNext w:val="0"/>
        <w:keepLines w:val="0"/>
        <w:pageBreakBefore w:val="0"/>
        <w:widowControl w:val="0"/>
        <w:tabs>
          <w:tab w:val="left" w:pos="7797"/>
        </w:tabs>
        <w:kinsoku/>
        <w:wordWrap/>
        <w:overflowPunct/>
        <w:topLinePunct w:val="0"/>
        <w:autoSpaceDE/>
        <w:autoSpaceDN/>
        <w:bidi w:val="0"/>
        <w:adjustRightInd/>
        <w:snapToGrid/>
        <w:spacing w:line="600" w:lineRule="exact"/>
        <w:ind w:left="0" w:leftChars="0" w:right="0" w:rightChars="0" w:firstLine="616" w:firstLineChars="200"/>
        <w:jc w:val="both"/>
        <w:textAlignment w:val="auto"/>
        <w:outlineLvl w:val="9"/>
        <w:rPr>
          <w:rFonts w:hint="eastAsia" w:ascii="仿宋_GB2312" w:hAnsi="仿宋" w:eastAsia="仿宋_GB2312" w:cs="Calibri"/>
          <w:spacing w:val="-6"/>
          <w:sz w:val="32"/>
          <w:szCs w:val="32"/>
        </w:rPr>
      </w:pPr>
    </w:p>
    <w:p>
      <w:pPr>
        <w:keepNext w:val="0"/>
        <w:keepLines w:val="0"/>
        <w:pageBreakBefore w:val="0"/>
        <w:widowControl w:val="0"/>
        <w:tabs>
          <w:tab w:val="left" w:pos="7797"/>
        </w:tabs>
        <w:kinsoku/>
        <w:wordWrap/>
        <w:overflowPunct/>
        <w:topLinePunct w:val="0"/>
        <w:autoSpaceDE/>
        <w:autoSpaceDN/>
        <w:bidi w:val="0"/>
        <w:adjustRightInd/>
        <w:snapToGrid/>
        <w:spacing w:line="600" w:lineRule="exact"/>
        <w:ind w:left="0" w:leftChars="0" w:right="0" w:rightChars="0" w:firstLine="616" w:firstLineChars="200"/>
        <w:jc w:val="both"/>
        <w:textAlignment w:val="auto"/>
        <w:outlineLvl w:val="9"/>
        <w:rPr>
          <w:rFonts w:hint="eastAsia" w:ascii="仿宋_GB2312" w:hAnsi="仿宋" w:eastAsia="仿宋_GB2312" w:cs="Calibri"/>
          <w:spacing w:val="-6"/>
          <w:sz w:val="32"/>
          <w:szCs w:val="32"/>
          <w:lang w:val="en-US" w:eastAsia="zh-CN"/>
        </w:rPr>
      </w:pPr>
      <w:r>
        <w:rPr>
          <w:rFonts w:hint="eastAsia" w:ascii="仿宋_GB2312" w:hAnsi="仿宋" w:eastAsia="仿宋_GB2312" w:cs="Calibri"/>
          <w:spacing w:val="-6"/>
          <w:sz w:val="32"/>
          <w:szCs w:val="32"/>
          <w:lang w:eastAsia="zh-CN"/>
        </w:rPr>
        <w:t>附件：</w:t>
      </w:r>
      <w:r>
        <w:rPr>
          <w:rFonts w:hint="eastAsia" w:ascii="仿宋_GB2312" w:hAnsi="仿宋" w:eastAsia="仿宋_GB2312" w:cs="Calibri"/>
          <w:spacing w:val="-6"/>
          <w:sz w:val="32"/>
          <w:szCs w:val="32"/>
          <w:lang w:val="en-US" w:eastAsia="zh-CN"/>
        </w:rPr>
        <w:t>1.2019年福建省中等职业教育招生资质学校名录</w:t>
      </w:r>
    </w:p>
    <w:p>
      <w:pPr>
        <w:keepNext w:val="0"/>
        <w:keepLines w:val="0"/>
        <w:pageBreakBefore w:val="0"/>
        <w:widowControl w:val="0"/>
        <w:tabs>
          <w:tab w:val="left" w:pos="7797"/>
        </w:tabs>
        <w:kinsoku/>
        <w:wordWrap/>
        <w:overflowPunct/>
        <w:topLinePunct w:val="0"/>
        <w:autoSpaceDE/>
        <w:autoSpaceDN/>
        <w:bidi w:val="0"/>
        <w:adjustRightInd/>
        <w:snapToGrid/>
        <w:spacing w:line="600" w:lineRule="exact"/>
        <w:ind w:left="0" w:leftChars="0" w:right="0" w:rightChars="0" w:firstLine="616" w:firstLineChars="200"/>
        <w:jc w:val="both"/>
        <w:textAlignment w:val="auto"/>
        <w:outlineLvl w:val="9"/>
        <w:rPr>
          <w:rFonts w:hint="eastAsia" w:ascii="仿宋_GB2312" w:hAnsi="仿宋" w:eastAsia="仿宋_GB2312" w:cs="Calibri"/>
          <w:spacing w:val="-6"/>
          <w:sz w:val="32"/>
          <w:szCs w:val="32"/>
          <w:lang w:val="en-US" w:eastAsia="zh-CN"/>
        </w:rPr>
      </w:pPr>
      <w:r>
        <w:rPr>
          <w:rFonts w:hint="eastAsia" w:ascii="仿宋_GB2312" w:hAnsi="仿宋" w:eastAsia="仿宋_GB2312" w:cs="Calibri"/>
          <w:spacing w:val="-6"/>
          <w:sz w:val="32"/>
          <w:szCs w:val="32"/>
          <w:lang w:val="en-US" w:eastAsia="zh-CN"/>
        </w:rPr>
        <w:t xml:space="preserve">      2.2019年福建省中等职业学校招生专业名单</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ascii="仿宋_GB2312" w:hAnsi="仿宋" w:eastAsia="仿宋_GB2312" w:cs="Calibri"/>
          <w:sz w:val="32"/>
          <w:szCs w:val="32"/>
        </w:rPr>
      </w:pPr>
      <w:r>
        <w:rPr>
          <w:rFonts w:ascii="仿宋_GB2312" w:hAnsi="仿宋" w:eastAsia="仿宋_GB2312" w:cs="Calibri"/>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ascii="仿宋_GB2312" w:hAnsi="仿宋" w:eastAsia="仿宋_GB2312" w:cs="Calibri"/>
          <w:sz w:val="32"/>
          <w:szCs w:val="32"/>
        </w:rPr>
      </w:pPr>
      <w:r>
        <w:rPr>
          <w:rFonts w:ascii="仿宋_GB2312" w:hAnsi="仿宋" w:eastAsia="仿宋_GB2312" w:cs="Calibri"/>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ascii="仿宋_GB2312" w:hAnsi="仿宋" w:eastAsia="仿宋_GB2312" w:cs="Calibri"/>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ascii="仿宋_GB2312" w:hAnsi="仿宋" w:eastAsia="仿宋_GB2312" w:cs="Calibri"/>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ascii="仿宋_GB2312" w:hAnsi="仿宋" w:eastAsia="仿宋_GB2312" w:cs="Calibri"/>
          <w:sz w:val="32"/>
          <w:szCs w:val="32"/>
        </w:rPr>
      </w:pPr>
    </w:p>
    <w:p>
      <w:pPr>
        <w:keepNext w:val="0"/>
        <w:keepLines w:val="0"/>
        <w:pageBreakBefore w:val="0"/>
        <w:widowControl w:val="0"/>
        <w:kinsoku/>
        <w:wordWrap w:val="0"/>
        <w:overflowPunct/>
        <w:topLinePunct w:val="0"/>
        <w:autoSpaceDE/>
        <w:autoSpaceDN/>
        <w:bidi w:val="0"/>
        <w:adjustRightInd/>
        <w:snapToGrid/>
        <w:spacing w:line="600" w:lineRule="exact"/>
        <w:ind w:left="0" w:leftChars="0" w:right="0" w:rightChars="0" w:firstLine="640" w:firstLineChars="200"/>
        <w:jc w:val="center"/>
        <w:textAlignment w:val="auto"/>
        <w:outlineLvl w:val="9"/>
        <w:rPr>
          <w:rFonts w:ascii="仿宋_GB2312" w:hAnsi="仿宋" w:eastAsia="仿宋_GB2312" w:cs="Calibri"/>
          <w:sz w:val="32"/>
          <w:szCs w:val="32"/>
        </w:rPr>
      </w:pPr>
      <w:r>
        <w:rPr>
          <w:rFonts w:hint="eastAsia" w:ascii="仿宋_GB2312" w:hAnsi="仿宋" w:eastAsia="仿宋_GB2312" w:cs="Calibri"/>
          <w:sz w:val="32"/>
          <w:szCs w:val="32"/>
          <w:lang w:val="en-US" w:eastAsia="zh-CN"/>
        </w:rPr>
        <w:t xml:space="preserve">                           </w:t>
      </w:r>
      <w:r>
        <w:rPr>
          <w:rFonts w:hint="eastAsia" w:ascii="仿宋_GB2312" w:hAnsi="仿宋" w:eastAsia="仿宋_GB2312" w:cs="Calibri"/>
          <w:sz w:val="32"/>
          <w:szCs w:val="32"/>
        </w:rPr>
        <w:t>福建省教育厅</w:t>
      </w:r>
      <w:r>
        <w:rPr>
          <w:rFonts w:hint="eastAsia" w:ascii="仿宋_GB2312" w:hAnsi="仿宋" w:eastAsia="仿宋_GB2312" w:cs="Calibri"/>
          <w:sz w:val="32"/>
          <w:szCs w:val="32"/>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line="600" w:lineRule="exact"/>
        <w:ind w:left="0" w:leftChars="0" w:right="0" w:rightChars="0" w:firstLine="640" w:firstLineChars="200"/>
        <w:jc w:val="right"/>
        <w:textAlignment w:val="auto"/>
        <w:outlineLvl w:val="9"/>
        <w:rPr>
          <w:rFonts w:hint="eastAsia" w:ascii="仿宋_GB2312" w:hAnsi="Calibri" w:eastAsia="仿宋_GB2312" w:cs="Times New Roman"/>
          <w:color w:val="FFFFFF" w:themeColor="background1"/>
          <w:kern w:val="2"/>
          <w:sz w:val="28"/>
          <w:szCs w:val="28"/>
          <w:lang w:val="en-US" w:eastAsia="zh-CN" w:bidi="ar-SA"/>
          <w14:textFill>
            <w14:solidFill>
              <w14:schemeClr w14:val="bg1"/>
            </w14:solidFill>
          </w14:textFill>
        </w:rPr>
      </w:pPr>
      <w:r>
        <w:rPr>
          <w:rFonts w:hint="eastAsia" w:ascii="仿宋_GB2312" w:hAnsi="仿宋" w:eastAsia="仿宋_GB2312" w:cs="Calibri"/>
          <w:sz w:val="32"/>
          <w:szCs w:val="32"/>
          <w:lang w:val="en-US" w:eastAsia="zh-CN"/>
        </w:rPr>
        <w:t xml:space="preserve">   </w:t>
      </w:r>
      <w:r>
        <w:rPr>
          <w:rFonts w:ascii="仿宋_GB2312" w:hAnsi="仿宋" w:eastAsia="仿宋_GB2312" w:cs="Calibri"/>
          <w:sz w:val="32"/>
          <w:szCs w:val="32"/>
        </w:rPr>
        <w:t>201</w:t>
      </w:r>
      <w:r>
        <w:rPr>
          <w:rFonts w:hint="eastAsia" w:ascii="仿宋_GB2312" w:hAnsi="仿宋" w:eastAsia="仿宋_GB2312" w:cs="Calibri"/>
          <w:sz w:val="32"/>
          <w:szCs w:val="32"/>
          <w:lang w:val="en-US" w:eastAsia="zh-CN"/>
        </w:rPr>
        <w:t>9</w:t>
      </w:r>
      <w:r>
        <w:rPr>
          <w:rFonts w:hint="eastAsia" w:ascii="仿宋_GB2312" w:hAnsi="仿宋" w:eastAsia="仿宋_GB2312" w:cs="Calibri"/>
          <w:sz w:val="32"/>
          <w:szCs w:val="32"/>
        </w:rPr>
        <w:t>年</w:t>
      </w:r>
      <w:r>
        <w:rPr>
          <w:rFonts w:ascii="仿宋_GB2312" w:hAnsi="仿宋" w:eastAsia="仿宋_GB2312" w:cs="Calibri"/>
          <w:sz w:val="32"/>
          <w:szCs w:val="32"/>
        </w:rPr>
        <w:t>5</w:t>
      </w:r>
      <w:r>
        <w:rPr>
          <w:rFonts w:hint="eastAsia" w:ascii="仿宋_GB2312" w:hAnsi="仿宋" w:eastAsia="仿宋_GB2312" w:cs="Calibri"/>
          <w:sz w:val="32"/>
          <w:szCs w:val="32"/>
        </w:rPr>
        <w:t>月</w:t>
      </w:r>
      <w:r>
        <w:rPr>
          <w:rFonts w:hint="eastAsia" w:ascii="仿宋_GB2312" w:hAnsi="仿宋" w:eastAsia="仿宋_GB2312" w:cs="Calibri"/>
          <w:sz w:val="32"/>
          <w:szCs w:val="32"/>
          <w:lang w:val="en-US" w:eastAsia="zh-CN"/>
        </w:rPr>
        <w:t>29</w:t>
      </w:r>
      <w:r>
        <w:rPr>
          <w:rFonts w:hint="eastAsia" w:ascii="仿宋_GB2312" w:hAnsi="仿宋" w:eastAsia="仿宋_GB2312" w:cs="Calibri"/>
          <w:sz w:val="32"/>
          <w:szCs w:val="32"/>
        </w:rPr>
        <w:t>日</w:t>
      </w:r>
      <w:r>
        <w:rPr>
          <w:rFonts w:hint="eastAsia" w:ascii="仿宋_GB2312" w:hAnsi="仿宋" w:eastAsia="仿宋_GB2312" w:cs="Calibri"/>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jc w:val="both"/>
        <w:textAlignment w:val="auto"/>
        <w:outlineLvl w:val="9"/>
        <w:rPr>
          <w:rFonts w:hint="eastAsia" w:ascii="仿宋_GB2312" w:hAnsi="Calibri" w:eastAsia="仿宋_GB2312" w:cs="Times New Roman"/>
          <w:color w:val="FFFFFF" w:themeColor="background1"/>
          <w:kern w:val="2"/>
          <w:sz w:val="28"/>
          <w:szCs w:val="28"/>
          <w:lang w:val="en-US" w:eastAsia="zh-CN" w:bidi="ar-SA"/>
          <w14:textFill>
            <w14:solidFill>
              <w14:schemeClr w14:val="bg1"/>
            </w14:solidFill>
          </w14:textFill>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jc w:val="both"/>
        <w:textAlignment w:val="auto"/>
        <w:outlineLvl w:val="9"/>
        <w:rPr>
          <w:rFonts w:hint="eastAsia" w:ascii="仿宋_GB2312" w:hAnsi="Calibri" w:eastAsia="仿宋_GB2312" w:cs="Times New Roman"/>
          <w:color w:val="FFFFFF" w:themeColor="background1"/>
          <w:kern w:val="2"/>
          <w:sz w:val="28"/>
          <w:szCs w:val="28"/>
          <w:lang w:val="en-US" w:eastAsia="zh-CN" w:bidi="ar-SA"/>
          <w14:textFill>
            <w14:solidFill>
              <w14:schemeClr w14:val="bg1"/>
            </w14:solidFill>
          </w14:textFill>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jc w:val="both"/>
        <w:textAlignment w:val="auto"/>
        <w:outlineLvl w:val="9"/>
        <w:rPr>
          <w:rFonts w:hint="eastAsia" w:ascii="仿宋_GB2312" w:hAnsi="Calibri" w:eastAsia="仿宋_GB2312" w:cs="Times New Roman"/>
          <w:color w:val="FFFFFF" w:themeColor="background1"/>
          <w:kern w:val="2"/>
          <w:sz w:val="28"/>
          <w:szCs w:val="28"/>
          <w:lang w:val="en-US" w:eastAsia="zh-CN" w:bidi="ar-SA"/>
          <w14:textFill>
            <w14:solidFill>
              <w14:schemeClr w14:val="bg1"/>
            </w14:solidFill>
          </w14:textFill>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jc w:val="both"/>
        <w:textAlignment w:val="auto"/>
        <w:outlineLvl w:val="9"/>
        <w:rPr>
          <w:rFonts w:hint="eastAsia" w:ascii="仿宋_GB2312" w:hAnsi="Calibri" w:eastAsia="仿宋_GB2312" w:cs="Times New Roman"/>
          <w:color w:val="FFFFFF" w:themeColor="background1"/>
          <w:kern w:val="2"/>
          <w:sz w:val="28"/>
          <w:szCs w:val="28"/>
          <w:lang w:val="en-US" w:eastAsia="zh-CN" w:bidi="ar-SA"/>
          <w14:textFill>
            <w14:solidFill>
              <w14:schemeClr w14:val="bg1"/>
            </w14:solidFill>
          </w14:textFill>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ascii="仿宋_GB2312" w:hAnsi="仿宋_GB2312" w:eastAsia="仿宋_GB2312" w:cs="仿宋_GB2312"/>
          <w:sz w:val="30"/>
          <w:szCs w:val="30"/>
        </w:rPr>
      </w:pPr>
      <w:r>
        <w:rPr>
          <w:rFonts w:ascii="仿宋_GB2312" w:hAnsi="仿宋_GB2312" w:eastAsia="仿宋_GB2312" w:cs="仿宋_GB2312"/>
          <w:sz w:val="30"/>
          <w:szCs w:val="30"/>
        </w:rPr>
        <w:t>(</w:t>
      </w:r>
      <w:r>
        <w:rPr>
          <w:rFonts w:hint="eastAsia" w:ascii="仿宋_GB2312" w:hAnsi="仿宋_GB2312" w:eastAsia="仿宋_GB2312" w:cs="仿宋_GB2312"/>
          <w:sz w:val="30"/>
          <w:szCs w:val="30"/>
        </w:rPr>
        <w:t>主动公开</w:t>
      </w:r>
      <w:r>
        <w:rPr>
          <w:rFonts w:ascii="仿宋_GB2312" w:hAnsi="仿宋_GB2312" w:eastAsia="仿宋_GB2312" w:cs="仿宋_GB2312"/>
          <w:sz w:val="30"/>
          <w:szCs w:val="30"/>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420" w:firstLineChars="200"/>
        <w:jc w:val="both"/>
        <w:textAlignment w:val="auto"/>
        <w:outlineLvl w:val="9"/>
        <w:rPr>
          <w:rFonts w:ascii="仿宋_GB2312" w:eastAsia="仿宋_GB2312" w:cs="Times New Roman"/>
          <w:sz w:val="28"/>
          <w:szCs w:val="28"/>
        </w:rPr>
      </w:pPr>
      <w:r>
        <w:rPr>
          <w:rFonts w:ascii="Calibri" w:hAnsi="Calibri" w:eastAsia="宋体" w:cs="Calibri"/>
          <w:kern w:val="2"/>
          <w:sz w:val="21"/>
          <w:szCs w:val="21"/>
          <w:lang w:val="en-US" w:eastAsia="zh-CN" w:bidi="ar-SA"/>
        </w:rPr>
        <mc:AlternateContent>
          <mc:Choice Requires="wps">
            <w:drawing>
              <wp:anchor distT="0" distB="0" distL="114300" distR="114300" simplePos="0" relativeHeight="251665408" behindDoc="0" locked="0" layoutInCell="1" allowOverlap="1">
                <wp:simplePos x="0" y="0"/>
                <wp:positionH relativeFrom="column">
                  <wp:posOffset>-20955</wp:posOffset>
                </wp:positionH>
                <wp:positionV relativeFrom="paragraph">
                  <wp:posOffset>22860</wp:posOffset>
                </wp:positionV>
                <wp:extent cx="5600700" cy="635"/>
                <wp:effectExtent l="0" t="0" r="0" b="0"/>
                <wp:wrapNone/>
                <wp:docPr id="3" name="直接箭头连接符 3"/>
                <wp:cNvGraphicFramePr/>
                <a:graphic xmlns:a="http://schemas.openxmlformats.org/drawingml/2006/main">
                  <a:graphicData uri="http://schemas.microsoft.com/office/word/2010/wordprocessingShape">
                    <wps:wsp>
                      <wps:cNvCnPr/>
                      <wps:spPr>
                        <a:xfrm>
                          <a:off x="0" y="0"/>
                          <a:ext cx="5600700" cy="635"/>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65pt;margin-top:1.8pt;height:0.05pt;width:441pt;z-index:251665408;mso-width-relative:page;mso-height-relative:page;" filled="f" stroked="t" coordsize="21600,21600" o:gfxdata="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hA/jCtIAAAAGAQAADwAA&#10;AAAAAAABACAAAAAiAAAAZHJzL2Rvd25yZXYueG1sUEsBAhQAFAAAAAgAh07iQD535a7jAQAAoQMA&#10;AA4AAAAAAAAAAQAgAAAAIQEAAGRycy9lMm9Eb2MueG1sUEsFBgAAAAAGAAYAWQEAAHYFAAAAAA==&#10;">
                <v:fill on="f" focussize="0,0"/>
                <v:stroke weight="1.5pt" color="#000000" joinstyle="round"/>
                <v:imagedata o:title=""/>
                <o:lock v:ext="edit" aspectratio="f"/>
              </v:shape>
            </w:pict>
          </mc:Fallback>
        </mc:AlternateContent>
      </w:r>
      <w:r>
        <w:rPr>
          <w:rFonts w:ascii="Calibri" w:hAnsi="Calibri" w:eastAsia="宋体" w:cs="Calibri"/>
          <w:kern w:val="2"/>
          <w:sz w:val="21"/>
          <w:szCs w:val="21"/>
          <w:lang w:val="en-US" w:eastAsia="zh-CN" w:bidi="ar-SA"/>
        </w:rPr>
        <mc:AlternateContent>
          <mc:Choice Requires="wps">
            <w:drawing>
              <wp:anchor distT="0" distB="0" distL="114300" distR="114300" simplePos="0" relativeHeight="251666432" behindDoc="0" locked="0" layoutInCell="1" allowOverlap="1">
                <wp:simplePos x="0" y="0"/>
                <wp:positionH relativeFrom="column">
                  <wp:posOffset>45720</wp:posOffset>
                </wp:positionH>
                <wp:positionV relativeFrom="paragraph">
                  <wp:posOffset>373380</wp:posOffset>
                </wp:positionV>
                <wp:extent cx="5600700" cy="635"/>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600700" cy="635"/>
                        </a:xfrm>
                        <a:prstGeom prst="straightConnector1">
                          <a:avLst/>
                        </a:prstGeom>
                        <a:ln w="12700"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3.6pt;margin-top:29.4pt;height:0.05pt;width:441pt;z-index:251666432;mso-width-relative:page;mso-height-relative:page;" filled="f" stroked="t" coordsize="21600,21600" o:gfxdata="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BgMmR0gAAAAcBAAAPAAAA&#10;AAAAAAEAIAAAACIAAABkcnMvZG93bnJldi54bWxQSwECFAAUAAAACACHTuJAtR5f7OIBAAChAwAA&#10;DgAAAAAAAAABACAAAAAhAQAAZHJzL2Uyb0RvYy54bWxQSwUGAAAAAAYABgBZAQAAdQUAAAAA&#10;">
                <v:fill on="f" focussize="0,0"/>
                <v:stroke weight="1pt" color="#000000" joinstyle="round"/>
                <v:imagedata o:title=""/>
                <o:lock v:ext="edit" aspectratio="f"/>
              </v:shape>
            </w:pict>
          </mc:Fallback>
        </mc:AlternateContent>
      </w:r>
      <w:r>
        <w:rPr>
          <w:rFonts w:hint="eastAsia" w:ascii="仿宋_GB2312" w:eastAsia="仿宋_GB2312" w:cs="仿宋_GB2312"/>
          <w:sz w:val="28"/>
          <w:szCs w:val="28"/>
        </w:rPr>
        <w:t>抄送：</w:t>
      </w:r>
      <w:r>
        <w:rPr>
          <w:rFonts w:hint="eastAsia" w:ascii="仿宋_GB2312" w:eastAsia="仿宋_GB2312" w:cs="仿宋_GB2312"/>
          <w:sz w:val="28"/>
          <w:szCs w:val="28"/>
          <w:lang w:eastAsia="zh-CN"/>
        </w:rPr>
        <w:t>省人社厅</w:t>
      </w:r>
      <w:r>
        <w:rPr>
          <w:rFonts w:hint="eastAsia" w:ascii="仿宋_GB2312" w:eastAsia="仿宋_GB2312" w:cs="仿宋_GB2312"/>
          <w:sz w:val="28"/>
          <w:szCs w:val="28"/>
        </w:rPr>
        <w:t>。</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560" w:firstLineChars="200"/>
        <w:jc w:val="both"/>
        <w:textAlignment w:val="auto"/>
        <w:outlineLvl w:val="9"/>
        <w:rPr>
          <w:rFonts w:ascii="仿宋_GB2312" w:eastAsia="仿宋_GB2312" w:cs="Times New Roman"/>
          <w:sz w:val="28"/>
          <w:szCs w:val="28"/>
        </w:rPr>
      </w:pPr>
      <w:bookmarkStart w:id="0" w:name="抄送"/>
      <w:bookmarkEnd w:id="0"/>
      <w:r>
        <w:rPr>
          <w:rFonts w:hint="eastAsia" w:ascii="仿宋_GB2312" w:eastAsia="仿宋_GB2312" w:cs="仿宋_GB2312"/>
          <w:sz w:val="28"/>
          <w:szCs w:val="28"/>
        </w:rPr>
        <w:t>福建省教育厅办公室</w:t>
      </w:r>
      <w:r>
        <w:rPr>
          <w:rFonts w:ascii="仿宋_GB2312" w:eastAsia="仿宋_GB2312" w:cs="仿宋_GB2312"/>
          <w:sz w:val="28"/>
          <w:szCs w:val="28"/>
        </w:rPr>
        <w:t xml:space="preserve">                  201</w:t>
      </w:r>
      <w:r>
        <w:rPr>
          <w:rFonts w:hint="eastAsia" w:ascii="仿宋_GB2312" w:eastAsia="仿宋_GB2312" w:cs="仿宋_GB2312"/>
          <w:sz w:val="28"/>
          <w:szCs w:val="28"/>
          <w:lang w:val="en-US" w:eastAsia="zh-CN"/>
        </w:rPr>
        <w:t>9</w:t>
      </w:r>
      <w:r>
        <w:rPr>
          <w:rFonts w:hint="eastAsia" w:ascii="仿宋_GB2312" w:eastAsia="仿宋_GB2312" w:cs="仿宋_GB2312"/>
          <w:sz w:val="28"/>
          <w:szCs w:val="28"/>
        </w:rPr>
        <w:t>年</w:t>
      </w:r>
      <w:r>
        <w:rPr>
          <w:rFonts w:hint="eastAsia" w:ascii="仿宋_GB2312" w:eastAsia="仿宋_GB2312" w:cs="仿宋_GB2312"/>
          <w:sz w:val="28"/>
          <w:szCs w:val="28"/>
          <w:lang w:val="en-US" w:eastAsia="zh-CN"/>
        </w:rPr>
        <w:t>5</w:t>
      </w:r>
      <w:r>
        <w:rPr>
          <w:rFonts w:hint="eastAsia" w:ascii="仿宋_GB2312" w:eastAsia="仿宋_GB2312" w:cs="仿宋_GB2312"/>
          <w:sz w:val="28"/>
          <w:szCs w:val="28"/>
        </w:rPr>
        <w:t>月</w:t>
      </w:r>
      <w:r>
        <w:rPr>
          <w:rFonts w:hint="eastAsia" w:ascii="仿宋_GB2312" w:eastAsia="仿宋_GB2312" w:cs="仿宋_GB2312"/>
          <w:sz w:val="28"/>
          <w:szCs w:val="28"/>
          <w:lang w:val="en-US" w:eastAsia="zh-CN"/>
        </w:rPr>
        <w:t>31</w:t>
      </w:r>
      <w:r>
        <w:rPr>
          <w:rFonts w:hint="eastAsia" w:ascii="仿宋_GB2312" w:eastAsia="仿宋_GB2312" w:cs="仿宋_GB2312"/>
          <w:sz w:val="28"/>
          <w:szCs w:val="28"/>
        </w:rPr>
        <w:t>日印发</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420" w:firstLineChars="200"/>
        <w:jc w:val="both"/>
        <w:textAlignment w:val="auto"/>
        <w:outlineLvl w:val="9"/>
      </w:pPr>
      <w:r>
        <w:rPr>
          <w:rFonts w:ascii="Calibri" w:hAnsi="Calibri" w:eastAsia="宋体" w:cs="Calibri"/>
          <w:kern w:val="2"/>
          <w:sz w:val="21"/>
          <w:szCs w:val="21"/>
          <w:lang w:val="en-US" w:eastAsia="zh-CN" w:bidi="ar-SA"/>
        </w:rP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0</wp:posOffset>
                </wp:positionV>
                <wp:extent cx="5600700" cy="635"/>
                <wp:effectExtent l="0" t="0" r="0" b="0"/>
                <wp:wrapNone/>
                <wp:docPr id="5" name="直接箭头连接符 5"/>
                <wp:cNvGraphicFramePr/>
                <a:graphic xmlns:a="http://schemas.openxmlformats.org/drawingml/2006/main">
                  <a:graphicData uri="http://schemas.microsoft.com/office/word/2010/wordprocessingShape">
                    <wps:wsp>
                      <wps:cNvCnPr/>
                      <wps:spPr>
                        <a:xfrm>
                          <a:off x="0" y="0"/>
                          <a:ext cx="5600700" cy="635"/>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0pt;margin-top:0pt;height:0.05pt;width:441pt;z-index:251667456;mso-width-relative:page;mso-height-relative:page;" filled="f" stroked="t" coordsize="21600,21600" o:gfxdata="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RjRBmc4AAAACAQAADwAAAAAA&#10;AAABACAAAAAiAAAAZHJzL2Rvd25yZXYueG1sUEsBAhQAFAAAAAgAh07iQPQK6bPkAQAAoQMAAA4A&#10;AAAAAAAAAQAgAAAAHQEAAGRycy9lMm9Eb2MueG1sUEsFBgAAAAAGAAYAWQEAAHMFAAAAAA==&#10;">
                <v:fill on="f" focussize="0,0"/>
                <v:stroke weight="1.5pt" color="#000000" joinstyle="round"/>
                <v:imagedata o:title=""/>
                <o:lock v:ext="edit" aspectratio="f"/>
              </v:shape>
            </w:pict>
          </mc:Fallback>
        </mc:AlternateConten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方正仿宋简体">
    <w:altName w:val="宋体"/>
    <w:panose1 w:val="03000509000000000000"/>
    <w:charset w:val="86"/>
    <w:family w:val="auto"/>
    <w:pitch w:val="default"/>
    <w:sig w:usb0="00000000" w:usb1="00000000" w:usb2="00000000" w:usb3="00000000" w:csb0="00040000" w:csb1="00000000"/>
  </w:font>
  <w:font w:name="Bookman Old Style">
    <w:panose1 w:val="02050604050505020204"/>
    <w:charset w:val="00"/>
    <w:family w:val="roman"/>
    <w:pitch w:val="default"/>
    <w:sig w:usb0="00000287" w:usb1="00000000" w:usb2="00000000" w:usb3="00000000" w:csb0="2000009F" w:csb1="DFD70000"/>
  </w:font>
  <w:font w:name="新宋体">
    <w:panose1 w:val="02010609030101010101"/>
    <w:charset w:val="86"/>
    <w:family w:val="modern"/>
    <w:pitch w:val="default"/>
    <w:sig w:usb0="00000003" w:usb1="288F0000" w:usb2="00000006" w:usb3="00000000" w:csb0="00040001" w:csb1="00000000"/>
  </w:font>
  <w:font w:name="Arial Unicode MS">
    <w:panose1 w:val="020B0604020202020204"/>
    <w:charset w:val="86"/>
    <w:family w:val="auto"/>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_x000B__x000C_">
    <w:altName w:val="Times New Roman"/>
    <w:panose1 w:val="00000000000000000000"/>
    <w:charset w:val="00"/>
    <w:family w:val="roman"/>
    <w:pitch w:val="default"/>
    <w:sig w:usb0="00000000" w:usb1="00000000" w:usb2="00000000"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宋体-方正超大字符集">
    <w:panose1 w:val="03000509000000000000"/>
    <w:charset w:val="86"/>
    <w:family w:val="auto"/>
    <w:pitch w:val="default"/>
    <w:sig w:usb0="00000001" w:usb1="080E0000" w:usb2="00000000" w:usb3="00000000" w:csb0="00040000" w:csb1="00000000"/>
  </w:font>
  <w:font w:name="幼圆">
    <w:panose1 w:val="02010509060101010101"/>
    <w:charset w:val="86"/>
    <w:family w:val="auto"/>
    <w:pitch w:val="default"/>
    <w:sig w:usb0="00000001" w:usb1="080E0000" w:usb2="00000000" w:usb3="00000000" w:csb0="00040000" w:csb1="00000000"/>
  </w:font>
  <w:font w:name="MingLiU">
    <w:panose1 w:val="02020509000000000000"/>
    <w:charset w:val="88"/>
    <w:family w:val="modern"/>
    <w:pitch w:val="default"/>
    <w:sig w:usb0="A00002FF" w:usb1="28CFFCFA" w:usb2="00000016" w:usb3="00000000" w:csb0="00100001" w:csb1="00000000"/>
  </w:font>
  <w:font w:name="MingLiU_HKSCS">
    <w:panose1 w:val="02020500000000000000"/>
    <w:charset w:val="88"/>
    <w:family w:val="roman"/>
    <w:pitch w:val="default"/>
    <w:sig w:usb0="A00002FF" w:usb1="38CFFCFA" w:usb2="00000016" w:usb3="00000000" w:csb0="00100001" w:csb1="00000000"/>
  </w:font>
  <w:font w:name="??_GB2312">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C926DD"/>
    <w:rsid w:val="0668606C"/>
    <w:rsid w:val="073D129C"/>
    <w:rsid w:val="07A24C6F"/>
    <w:rsid w:val="09DE747F"/>
    <w:rsid w:val="157F2698"/>
    <w:rsid w:val="16702847"/>
    <w:rsid w:val="42FD2EA3"/>
    <w:rsid w:val="574848C6"/>
    <w:rsid w:val="5CC926DD"/>
    <w:rsid w:val="5F574FE7"/>
    <w:rsid w:val="75082FE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2019-05-24T07:24:00Z</dcterms:created>
  <dc:creator>程征</dc:creator>
  <cp:lastModifiedBy>程征</cp:lastModifiedBy>
  <cp:lastPrinted>2019-05-27T11:23:00Z</cp:lastPrinted>
  <dcterms:modified xsi:type="dcterms:W3CDTF">2019-06-03T07:46:47Z</dcterms:modified>
  <dc:title>福建省教育厅关于公布2019年</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